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45540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41.050000pt;width:258.100000pt;height:9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168" w:lineRule="atLeast"/>
                    <w:ind w:left="4" w:right="96" w:firstLine="0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An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den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Stellen,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welche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mit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einem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de"/>
                    </w:rPr>
                    <w:t xml:space="preserve">*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gekennzeichnet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sind,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weicht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das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Do</w:t>
                    <w:softHyphen/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kument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vom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Antrag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ab.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Wenn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Sie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nicht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innerhalb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eines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Monats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nach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Empfang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des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Dokuments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schriftlich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widersprechen,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gelten </w:t>
                  </w:r>
                  <w:r>
                    <w:rPr>
                      <w:rFonts w:ascii="Arial" w:eastAsia="Arial" w:hAnsi="Arial" w:cs="Arial"/>
                      <w:b/>
                      <w:w w:val="77"/>
                      <w:sz w:val="17"/>
                      <w:szCs w:val="17"/>
                      <w:lang w:val="de"/>
                    </w:rPr>
                    <w:t xml:space="preserve">die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Abwei</w:t>
                    <w:softHyphen/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chungen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als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genehmigt.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Eine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Erklärung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in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Textform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z.B.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per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Fax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oder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E-Mail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mit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Angabe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Ihres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Namens,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genügt.</w:t>
                  </w:r>
                </w:p>
                <w:p>
                  <w:pPr>
                    <w:pStyle w:val="Style"/>
                    <w:spacing w:before="0" w:after="0" w:line="345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Bei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Nachträgen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sind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die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Änderungen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mit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XX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gekennzeichnet.</w:t>
                  </w:r>
                </w:p>
                <w:p>
                  <w:pPr>
                    <w:pStyle w:val="Style"/>
                    <w:spacing w:before="128" w:after="0" w:line="163" w:lineRule="atLeast"/>
                    <w:ind w:left="19" w:right="72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Versicherungsnehmer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kann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jederzeit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auf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seine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Kosten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Abschriften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Erklärungen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fordern,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mit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Bezug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auf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(insbeson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Antragsstellung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Schadenfall)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abgegeben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hat.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.150000pt;margin-top:151.700000pt;width:257.10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168" w:lineRule="atLeast"/>
                    <w:ind w:left="4" w:right="38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Alle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für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bestimmten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Anzeigen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Erklärungen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sollen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Hauptverwaltung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Versicherers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rungsschein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dessen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Nachträgen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als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zuständig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bezeichnete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schäftsstelle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gerichtet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werden.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2426335</wp:posOffset>
            </wp:positionV>
            <wp:extent cx="1060450" cy="426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.150000pt;margin-top:232.800000pt;width:257.1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168" w:lineRule="atLeast"/>
                    <w:ind w:left="4" w:right="38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Auf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Möglichkeit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Beitragsanpassung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wird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hingewiesen.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Einzel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heiten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können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zugrundeliegenden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Bedingungen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bzw.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Besonderen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Bedingungen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entnehmen.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.150000pt;margin-top:267.600000pt;width:257.1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29" w:firstLine="0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C.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Sonstiges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.150000pt;margin-top:305.550000pt;width:257.100000pt;height:4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168" w:lineRule="atLeast"/>
                    <w:ind w:left="4" w:right="38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Zeigen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unserem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Vermittler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sofort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schriftlich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Angaben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Ihrem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Risiko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verändern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de"/>
                    </w:rPr>
                    <w:t xml:space="preserve">(z.B,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Veränderung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Wohn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fläche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und/oder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Ausstattung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durch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Umzug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bzw.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Um-,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An-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Aus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bau)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neue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Risiken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hinzukommen.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.150000pt;margin-top:349.450000pt;width:257.1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158" w:lineRule="atLeast"/>
                    <w:ind w:left="129" w:right="163" w:firstLine="0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D.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Zahlung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und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Folgen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verspäteter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Zahlung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/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erster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oder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einmaliger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Beitrag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2.150000pt;margin-top:376.800000pt;width:257.350000pt;height:3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182" w:lineRule="atLeast"/>
                    <w:ind w:left="182" w:right="0" w:hanging="158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Fälligkeit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Zahlung</w:t>
                  </w:r>
                </w:p>
                <w:p>
                  <w:pPr>
                    <w:pStyle w:val="Style"/>
                    <w:spacing w:before="75" w:after="0" w:line="163" w:lineRule="atLeast"/>
                    <w:ind w:left="187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einmalige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wird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unverzüglich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nach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Abschluss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Vertrages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fällig,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jedoch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Versicherungsschein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angegebenen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Versicherungsbeginn.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Ist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Zahlung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Jahresbei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trags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Raten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vereinbart,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gilt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als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nur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Rate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Jahresbeitrags.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182" w:lineRule="atLeast"/>
                    <w:ind w:left="182" w:right="0" w:hanging="168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Späterer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Beginn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des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Versicherungsschutzes</w:t>
                  </w:r>
                </w:p>
                <w:p>
                  <w:pPr>
                    <w:pStyle w:val="Style"/>
                    <w:spacing w:before="75" w:after="0" w:line="163" w:lineRule="atLeast"/>
                    <w:ind w:left="187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Zahlen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einmaligen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rechtzeitig,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son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späteren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Zeitpunkt,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beginnt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Versicherungsschutz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ab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diesem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Zeitpunkt,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sofern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durch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gesonderte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Mitteilung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Textform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durch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auffälligen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Hinweis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schein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auf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diese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Rechtsfolge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aufmerksam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gemacht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wurden.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Das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gilt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nachweisen,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dass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Nichtzahlung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vertreten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haben.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25" w:lineRule="atLeast"/>
                    <w:ind w:left="187" w:right="0" w:hanging="172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Rücktritt</w:t>
                  </w:r>
                </w:p>
                <w:p>
                  <w:pPr>
                    <w:pStyle w:val="Style"/>
                    <w:spacing w:before="75" w:after="0" w:line="163" w:lineRule="atLeast"/>
                    <w:ind w:left="187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Zahlen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ersten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einmaligen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rechtzeitig,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kön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wir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zurücktreten,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solange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gezahlt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ist.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Das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gilt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nachweisen,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dass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Nichtzah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vertreten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haben.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25" w:lineRule="atLeast"/>
                    <w:ind w:left="187" w:right="0" w:hanging="172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Rechtzeitige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Zahlung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beim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SEPA-Lastschriftverfahren</w:t>
                  </w:r>
                </w:p>
                <w:p>
                  <w:pPr>
                    <w:pStyle w:val="Style"/>
                    <w:spacing w:before="75" w:after="0" w:line="163" w:lineRule="atLeast"/>
                    <w:ind w:left="187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Ist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Einziehung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Konto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vereinbart,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gilt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Zahlung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als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rechtzeitig,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Fälligkeitstag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gezogen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werden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kann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berechtigten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Einziehung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widersprechen.</w:t>
                  </w:r>
                </w:p>
                <w:p>
                  <w:pPr>
                    <w:pStyle w:val="Style"/>
                    <w:spacing w:before="75" w:after="0" w:line="163" w:lineRule="atLeast"/>
                    <w:ind w:left="187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Konnte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fällige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ohne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Ihr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Verschulden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gezogen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werden,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ist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Zahlung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auch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dann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noch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rechtzeitig,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unverzüglich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nach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Textform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abgegebenen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Zah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lungsaufforderung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erfolgt.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25" w:lineRule="atLeast"/>
                    <w:ind w:left="187" w:right="0" w:hanging="172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Rückwirkender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Wegfall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vorläufigen </w:t>
                  </w:r>
                  <w:r>
                    <w:rPr>
                      <w:b/>
                      <w:sz w:val="15"/>
                      <w:szCs w:val="15"/>
                      <w:lang w:val="de"/>
                    </w:rPr>
                    <w:t xml:space="preserve">Versicherungsschutzes</w:t>
                  </w:r>
                </w:p>
                <w:p>
                  <w:pPr>
                    <w:pStyle w:val="Style"/>
                    <w:spacing w:before="75" w:after="0" w:line="163" w:lineRule="atLeast"/>
                    <w:ind w:left="187" w:firstLine="0"/>
                    <w:textAlignment w:val="baseline"/>
                  </w:pPr>
                  <w:r>
                    <w:rPr>
                      <w:sz w:val="16"/>
                      <w:szCs w:val="16"/>
                      <w:lang w:val="de"/>
                    </w:rPr>
                    <w:t xml:space="preserve">Sollte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Ihnen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vorläufiger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Versicherungsschutz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zugesagt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worden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sein,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so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entfällt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dieser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rückwirkend,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für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vorläu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Versicherungsschutz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oder,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falls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ein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gesonderter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dafür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erhoben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wird,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Beitrag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für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endgültigen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Versicherungs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vertrag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nicht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rechtzeitig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gezahlt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haben,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vertreten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ha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ben.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Zahlung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gilt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als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rechtzeitig,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wenn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sie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unverzüglich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nach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Zu</w:t>
                    <w:softHyphen/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gang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Deckungszusage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und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der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Zahlungsaufforderung </w:t>
                  </w:r>
                  <w:r>
                    <w:rPr>
                      <w:sz w:val="16"/>
                      <w:szCs w:val="16"/>
                      <w:lang w:val="de"/>
                    </w:rPr>
                    <w:t xml:space="preserve">erfolgt.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402.700000pt;margin-top:722.900000pt;width:107.10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de"/>
                    </w:rPr>
                    <w:t xml:space="preserve">IIII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7"/>
                      <w:szCs w:val="27"/>
                      <w:lang w:val="de"/>
                    </w:rPr>
                    <w:t xml:space="preserve">III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7"/>
                      <w:szCs w:val="27"/>
                      <w:lang w:val="de"/>
                    </w:rPr>
                    <w:t xml:space="preserve">II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7"/>
                      <w:szCs w:val="27"/>
                      <w:lang w:val="de"/>
                    </w:rPr>
                    <w:t xml:space="preserve">II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7"/>
                      <w:szCs w:val="27"/>
                      <w:lang w:val="de"/>
                    </w:rPr>
                    <w:t xml:space="preserve">II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7"/>
                      <w:szCs w:val="27"/>
                      <w:lang w:val="de"/>
                    </w:rPr>
                    <w:t xml:space="preserve">1111111111111111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403.650000pt;margin-top:767.050000pt;width:31.7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15"/>
                      <w:szCs w:val="15"/>
                      <w:lang w:val="de"/>
                    </w:rPr>
                    <w:t xml:space="preserve">000000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449.250000pt;margin-top:767.800000pt;width:99.2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15"/>
                      <w:szCs w:val="15"/>
                      <w:lang w:val="de"/>
                    </w:rPr>
                    <w:t xml:space="preserve">/0000062/002/007/ZN6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734" w:right="502" w:bottom="360" w:left="50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5"/>
        <w:szCs w:val="15"/>
        <w:b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5"/>
        <w:szCs w:val="15"/>
        <w:b/>
      </w:rPr>
    </w:lvl>
  </w:abstractNum>
  <w:abstractNum w:abstractNumId="2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5"/>
        <w:szCs w:val="15"/>
        <w:b/>
      </w:rPr>
    </w:lvl>
  </w:abstractNum>
  <w:abstractNum w:abstractNumId="3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5"/>
        <w:szCs w:val="15"/>
        <w:b/>
      </w:rPr>
    </w:lvl>
  </w:abstractNum>
  <w:abstractNum w:abstractNumId="4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5"/>
        <w:szCs w:val="15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de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Broch</dc:creator>
  <cp:revision>1</cp:revision>
  <dcterms:created xsi:type="dcterms:W3CDTF">2015-11-19T22:43:24Z</dcterms:created>
  <dcterms:modified xsi:type="dcterms:W3CDTF">2015-11-19T22:43:24Z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15.0</vt:lpwstr>
  </property>
  <property fmtid="{D5CDD505-2E9C-101B-9397-08002B2CF9AE}" pid="3" name="Producer">
    <vt:lpwstr>Image Recognition Integrated Systems, I.R.I.S.</vt:lpwstr>
  </property>
</Properties>
</file>